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B5207">
      <w:pPr>
        <w:pStyle w:val="2"/>
        <w:ind w:firstLine="3235" w:firstLineChars="895"/>
        <w:rPr>
          <w:rFonts w:ascii="黑体" w:eastAsia="黑体"/>
          <w:color w:val="000000"/>
          <w:sz w:val="36"/>
          <w:szCs w:val="36"/>
        </w:rPr>
      </w:pPr>
      <w:r>
        <w:rPr>
          <w:rFonts w:hint="eastAsia" w:ascii="黑体" w:eastAsia="黑体"/>
          <w:color w:val="000000"/>
          <w:sz w:val="36"/>
          <w:szCs w:val="36"/>
        </w:rPr>
        <w:t>需求说明文件</w:t>
      </w:r>
    </w:p>
    <w:p w14:paraId="5414E078">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一、资格条件</w:t>
      </w:r>
    </w:p>
    <w:p w14:paraId="07FEEB0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基本条件：</w:t>
      </w:r>
    </w:p>
    <w:p w14:paraId="13BED52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符具有独立承担民事责任能力的在中华人民共和国境内注册法人或其他组织；</w:t>
      </w:r>
    </w:p>
    <w:p w14:paraId="5295C3C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具有良好的商业信誉和健全的财务会计制度；</w:t>
      </w:r>
    </w:p>
    <w:p w14:paraId="79EF1ED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具有履行合同所必需的设备和专业技术能力；</w:t>
      </w:r>
    </w:p>
    <w:p w14:paraId="3E63CB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有依法缴纳税收和社会保障资金的良好记录；</w:t>
      </w:r>
    </w:p>
    <w:p w14:paraId="0443FFC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法律、行政法规规定的其他条件。</w:t>
      </w:r>
    </w:p>
    <w:p w14:paraId="186A0C7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本项目不允许联合体投标。</w:t>
      </w:r>
    </w:p>
    <w:p w14:paraId="388AAAFB">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二、项目说明及总体要求</w:t>
      </w:r>
    </w:p>
    <w:p w14:paraId="0E250BE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必须对项目内全部内容进行响应，不允许只对其中部分内容进行响应。</w:t>
      </w:r>
    </w:p>
    <w:p w14:paraId="1B4D82A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二</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采购项目基本内容</w:t>
      </w:r>
    </w:p>
    <w:p w14:paraId="0DA865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服务地点：南方医学大学皮肤病医院总院区（包含老干大厦</w:t>
      </w:r>
      <w:r>
        <w:rPr>
          <w:rFonts w:hint="eastAsia" w:ascii="仿宋_GB2312" w:hAnsi="仿宋_GB2312" w:eastAsia="仿宋_GB2312" w:cs="仿宋_GB2312"/>
          <w:color w:val="000000"/>
          <w:kern w:val="0"/>
          <w:sz w:val="28"/>
          <w:szCs w:val="28"/>
          <w:lang w:val="en-US" w:eastAsia="zh-CN"/>
        </w:rPr>
        <w:t>院区</w:t>
      </w:r>
      <w:r>
        <w:rPr>
          <w:rFonts w:hint="eastAsia" w:ascii="仿宋_GB2312" w:hAnsi="仿宋_GB2312" w:eastAsia="仿宋_GB2312" w:cs="仿宋_GB2312"/>
          <w:color w:val="000000"/>
          <w:kern w:val="0"/>
          <w:sz w:val="28"/>
          <w:szCs w:val="28"/>
        </w:rPr>
        <w:t>）和珠江新城院区、番禺院区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政民路院区。</w:t>
      </w:r>
    </w:p>
    <w:p w14:paraId="1BD2CB0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四害防制及灭虫服务：包括但不限于老鼠防制、蟑螂防制、</w:t>
      </w:r>
      <w:r>
        <w:rPr>
          <w:rFonts w:hint="eastAsia" w:ascii="仿宋_GB2312" w:hAnsi="仿宋_GB2312" w:eastAsia="仿宋_GB2312" w:cs="仿宋_GB2312"/>
          <w:color w:val="000000"/>
          <w:kern w:val="0"/>
          <w:sz w:val="28"/>
          <w:szCs w:val="28"/>
          <w:lang w:val="en-US" w:eastAsia="zh-CN"/>
        </w:rPr>
        <w:t>蚊</w:t>
      </w:r>
      <w:r>
        <w:rPr>
          <w:rFonts w:hint="eastAsia" w:ascii="仿宋_GB2312" w:hAnsi="仿宋_GB2312" w:eastAsia="仿宋_GB2312" w:cs="仿宋_GB2312"/>
          <w:color w:val="000000"/>
          <w:kern w:val="0"/>
          <w:sz w:val="28"/>
          <w:szCs w:val="28"/>
        </w:rPr>
        <w:t>蝇类防制、</w:t>
      </w:r>
      <w:r>
        <w:rPr>
          <w:rFonts w:hint="eastAsia" w:ascii="仿宋_GB2312" w:hAnsi="仿宋_GB2312" w:eastAsia="仿宋_GB2312" w:cs="仿宋_GB2312"/>
          <w:color w:val="000000"/>
          <w:kern w:val="0"/>
          <w:sz w:val="28"/>
          <w:szCs w:val="28"/>
          <w:lang w:val="en-US" w:eastAsia="zh-CN"/>
        </w:rPr>
        <w:t>苍蝇类防制、</w:t>
      </w:r>
      <w:r>
        <w:rPr>
          <w:rFonts w:hint="eastAsia" w:ascii="仿宋_GB2312" w:hAnsi="仿宋_GB2312" w:eastAsia="仿宋_GB2312" w:cs="仿宋_GB2312"/>
          <w:color w:val="000000"/>
          <w:kern w:val="0"/>
          <w:sz w:val="28"/>
          <w:szCs w:val="28"/>
        </w:rPr>
        <w:t>鼠臭跟进等其他相关服务，每周作业不少于1次</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虫害高发期或其他特殊情况适当增加次数。</w:t>
      </w:r>
    </w:p>
    <w:p w14:paraId="45A66FA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p>
    <w:p w14:paraId="0BB99225">
      <w:pPr>
        <w:pStyle w:val="3"/>
        <w:spacing w:line="300" w:lineRule="exact"/>
        <w:jc w:val="center"/>
        <w:rPr>
          <w:rFonts w:ascii="宋体" w:hAnsi="宋体" w:cs="宋体"/>
          <w:b/>
          <w:bCs/>
          <w:sz w:val="24"/>
        </w:rPr>
      </w:pPr>
      <w:r>
        <w:rPr>
          <w:rFonts w:hint="eastAsia" w:ascii="宋体" w:hAnsi="宋体" w:cs="宋体"/>
          <w:b/>
          <w:bCs/>
          <w:sz w:val="24"/>
        </w:rPr>
        <w:t>灭虫服务及</w:t>
      </w:r>
      <w:r>
        <w:rPr>
          <w:rFonts w:hint="eastAsia" w:ascii="宋体" w:hAnsi="宋体" w:cs="宋体"/>
          <w:b/>
          <w:sz w:val="24"/>
        </w:rPr>
        <w:t>设备配置表</w:t>
      </w:r>
    </w:p>
    <w:tbl>
      <w:tblPr>
        <w:tblStyle w:val="10"/>
        <w:tblW w:w="5032"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8"/>
        <w:gridCol w:w="815"/>
        <w:gridCol w:w="2520"/>
        <w:gridCol w:w="726"/>
        <w:gridCol w:w="891"/>
        <w:gridCol w:w="1148"/>
        <w:gridCol w:w="819"/>
      </w:tblGrid>
      <w:tr w14:paraId="1116F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3" w:hRule="atLeast"/>
        </w:trPr>
        <w:tc>
          <w:tcPr>
            <w:tcW w:w="966" w:type="pct"/>
            <w:vAlign w:val="center"/>
          </w:tcPr>
          <w:p w14:paraId="18561C6B">
            <w:pPr>
              <w:pStyle w:val="3"/>
              <w:jc w:val="center"/>
              <w:rPr>
                <w:rFonts w:ascii="宋体" w:hAnsi="宋体" w:cs="宋体"/>
                <w:b/>
                <w:bCs/>
              </w:rPr>
            </w:pPr>
            <w:r>
              <w:rPr>
                <w:rFonts w:hint="eastAsia" w:ascii="宋体" w:hAnsi="宋体" w:cs="宋体"/>
                <w:b/>
                <w:bCs/>
              </w:rPr>
              <w:t>作业地点</w:t>
            </w:r>
          </w:p>
        </w:tc>
        <w:tc>
          <w:tcPr>
            <w:tcW w:w="475" w:type="pct"/>
            <w:vAlign w:val="center"/>
          </w:tcPr>
          <w:p w14:paraId="18072602">
            <w:pPr>
              <w:pStyle w:val="3"/>
              <w:jc w:val="center"/>
              <w:rPr>
                <w:rFonts w:ascii="宋体" w:hAnsi="宋体" w:cs="宋体"/>
                <w:b/>
                <w:bCs/>
              </w:rPr>
            </w:pPr>
            <w:r>
              <w:rPr>
                <w:rFonts w:hint="eastAsia" w:ascii="宋体" w:hAnsi="宋体" w:cs="宋体"/>
                <w:b/>
                <w:bCs/>
              </w:rPr>
              <w:t>内容</w:t>
            </w:r>
          </w:p>
        </w:tc>
        <w:tc>
          <w:tcPr>
            <w:tcW w:w="1468" w:type="pct"/>
            <w:vAlign w:val="center"/>
          </w:tcPr>
          <w:p w14:paraId="1898C1ED">
            <w:pPr>
              <w:pStyle w:val="3"/>
              <w:jc w:val="center"/>
              <w:rPr>
                <w:rFonts w:ascii="宋体" w:hAnsi="宋体" w:cs="宋体"/>
                <w:b/>
                <w:bCs/>
              </w:rPr>
            </w:pPr>
            <w:r>
              <w:rPr>
                <w:rFonts w:hint="eastAsia" w:ascii="宋体" w:hAnsi="宋体" w:cs="宋体"/>
                <w:b/>
                <w:bCs/>
              </w:rPr>
              <w:t>方法</w:t>
            </w:r>
          </w:p>
        </w:tc>
        <w:tc>
          <w:tcPr>
            <w:tcW w:w="423" w:type="pct"/>
            <w:vAlign w:val="center"/>
          </w:tcPr>
          <w:p w14:paraId="4C7B9E9D">
            <w:pPr>
              <w:pStyle w:val="3"/>
              <w:jc w:val="center"/>
              <w:rPr>
                <w:rFonts w:ascii="宋体" w:hAnsi="宋体" w:cs="宋体"/>
                <w:b/>
                <w:bCs/>
              </w:rPr>
            </w:pPr>
            <w:r>
              <w:rPr>
                <w:rFonts w:hint="eastAsia" w:ascii="宋体" w:hAnsi="宋体" w:cs="宋体"/>
                <w:b/>
                <w:bCs/>
              </w:rPr>
              <w:t>频率</w:t>
            </w:r>
          </w:p>
        </w:tc>
        <w:tc>
          <w:tcPr>
            <w:tcW w:w="519" w:type="pct"/>
            <w:vAlign w:val="center"/>
          </w:tcPr>
          <w:p w14:paraId="09804662">
            <w:pPr>
              <w:pStyle w:val="3"/>
              <w:jc w:val="center"/>
              <w:rPr>
                <w:rFonts w:ascii="宋体" w:hAnsi="宋体" w:cs="宋体"/>
                <w:b/>
                <w:bCs/>
              </w:rPr>
            </w:pPr>
            <w:r>
              <w:rPr>
                <w:rFonts w:hint="eastAsia" w:ascii="宋体" w:hAnsi="宋体" w:cs="宋体"/>
                <w:b/>
                <w:bCs/>
              </w:rPr>
              <w:t>配套设备</w:t>
            </w:r>
          </w:p>
        </w:tc>
        <w:tc>
          <w:tcPr>
            <w:tcW w:w="669" w:type="pct"/>
            <w:vAlign w:val="center"/>
          </w:tcPr>
          <w:p w14:paraId="3894E216">
            <w:pPr>
              <w:pStyle w:val="3"/>
              <w:jc w:val="center"/>
              <w:rPr>
                <w:rFonts w:ascii="宋体" w:hAnsi="宋体" w:cs="宋体"/>
                <w:b/>
                <w:bCs/>
              </w:rPr>
            </w:pPr>
            <w:r>
              <w:rPr>
                <w:rFonts w:hint="eastAsia" w:ascii="宋体" w:hAnsi="宋体" w:cs="宋体"/>
                <w:b/>
                <w:bCs/>
              </w:rPr>
              <w:t>数量</w:t>
            </w:r>
          </w:p>
        </w:tc>
        <w:tc>
          <w:tcPr>
            <w:tcW w:w="477" w:type="pct"/>
            <w:vAlign w:val="center"/>
          </w:tcPr>
          <w:p w14:paraId="6CB427FE">
            <w:pPr>
              <w:pStyle w:val="3"/>
              <w:jc w:val="center"/>
              <w:rPr>
                <w:rFonts w:ascii="宋体" w:hAnsi="宋体" w:cs="宋体"/>
                <w:b/>
                <w:bCs/>
              </w:rPr>
            </w:pPr>
            <w:r>
              <w:rPr>
                <w:rFonts w:hint="eastAsia" w:ascii="宋体" w:hAnsi="宋体" w:cs="宋体"/>
                <w:b/>
                <w:bCs/>
              </w:rPr>
              <w:t>备注</w:t>
            </w:r>
          </w:p>
        </w:tc>
      </w:tr>
      <w:tr w14:paraId="0E2EA2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6" w:type="pct"/>
            <w:vMerge w:val="restart"/>
            <w:vAlign w:val="center"/>
          </w:tcPr>
          <w:p w14:paraId="0EA932C1">
            <w:pPr>
              <w:rPr>
                <w:rFonts w:hint="default" w:eastAsiaTheme="minorEastAsia"/>
                <w:lang w:val="en-US" w:eastAsia="zh-CN"/>
              </w:rPr>
            </w:pPr>
            <w:r>
              <w:rPr>
                <w:rFonts w:hint="eastAsia"/>
              </w:rPr>
              <w:t xml:space="preserve">    南方医科大学皮肤病医院总院（广州市越秀区麓景路2号1号楼共5层、2、3号楼共13层及所属围墙内的地面区域范围</w:t>
            </w:r>
            <w:r>
              <w:rPr>
                <w:rFonts w:hint="eastAsia"/>
                <w:lang w:eastAsia="zh-CN"/>
              </w:rPr>
              <w:t>，</w:t>
            </w:r>
            <w:r>
              <w:rPr>
                <w:rFonts w:hint="eastAsia"/>
                <w:lang w:val="en-US" w:eastAsia="zh-CN"/>
              </w:rPr>
              <w:t>约16000平方米</w:t>
            </w:r>
            <w:r>
              <w:rPr>
                <w:rFonts w:hint="eastAsia"/>
              </w:rPr>
              <w:t>）</w:t>
            </w:r>
          </w:p>
          <w:p w14:paraId="04FC72AC">
            <w:r>
              <w:rPr>
                <w:rFonts w:hint="eastAsia"/>
              </w:rPr>
              <w:t xml:space="preserve">    南方医科大学皮肤病医院老干大厦院区（广州市越秀区麓景路7号1</w:t>
            </w:r>
            <w:r>
              <w:rPr>
                <w:rFonts w:hint="eastAsia"/>
                <w:lang w:val="en-US" w:eastAsia="zh-CN"/>
              </w:rPr>
              <w:t>-2</w:t>
            </w:r>
            <w:r>
              <w:rPr>
                <w:rFonts w:hint="eastAsia"/>
              </w:rPr>
              <w:t>层</w:t>
            </w:r>
            <w:r>
              <w:rPr>
                <w:rFonts w:hint="eastAsia"/>
                <w:lang w:eastAsia="zh-CN"/>
              </w:rPr>
              <w:t>，</w:t>
            </w:r>
            <w:r>
              <w:rPr>
                <w:rFonts w:hint="eastAsia"/>
                <w:lang w:val="en-US" w:eastAsia="zh-CN"/>
              </w:rPr>
              <w:t>约1600平方米</w:t>
            </w:r>
            <w:r>
              <w:rPr>
                <w:rFonts w:hint="eastAsia"/>
              </w:rPr>
              <w:t>）</w:t>
            </w:r>
          </w:p>
          <w:p w14:paraId="1D0ECF0A">
            <w:pPr>
              <w:ind w:firstLine="420"/>
              <w:rPr>
                <w:rFonts w:hint="eastAsia"/>
              </w:rPr>
            </w:pPr>
            <w:r>
              <w:rPr>
                <w:rFonts w:hint="eastAsia"/>
              </w:rPr>
              <w:t>南方医科大学皮肤病医院珠江新城医学美容中心（广州市天河区金穗路46号之一1-2层</w:t>
            </w:r>
            <w:r>
              <w:rPr>
                <w:rFonts w:hint="eastAsia"/>
                <w:lang w:eastAsia="zh-CN"/>
              </w:rPr>
              <w:t>，</w:t>
            </w:r>
            <w:r>
              <w:rPr>
                <w:rFonts w:hint="eastAsia"/>
                <w:lang w:val="en-US" w:eastAsia="zh-CN"/>
              </w:rPr>
              <w:t>约950平方米</w:t>
            </w:r>
            <w:r>
              <w:rPr>
                <w:rFonts w:hint="eastAsia"/>
              </w:rPr>
              <w:t>）</w:t>
            </w:r>
          </w:p>
          <w:p w14:paraId="4A54708E">
            <w:pPr>
              <w:ind w:firstLine="420"/>
              <w:rPr>
                <w:rFonts w:hint="eastAsia"/>
              </w:rPr>
            </w:pPr>
            <w:r>
              <w:rPr>
                <w:rFonts w:hint="eastAsia"/>
              </w:rPr>
              <w:t>南方医科大学皮肤病医院</w:t>
            </w:r>
            <w:r>
              <w:rPr>
                <w:rFonts w:hint="eastAsia"/>
                <w:lang w:val="en-US" w:eastAsia="zh-CN"/>
              </w:rPr>
              <w:t>番禺</w:t>
            </w:r>
            <w:r>
              <w:rPr>
                <w:rFonts w:hint="eastAsia"/>
              </w:rPr>
              <w:t>医学美容中心（广州市</w:t>
            </w:r>
            <w:r>
              <w:rPr>
                <w:rFonts w:hint="eastAsia"/>
                <w:lang w:val="en-US" w:eastAsia="zh-CN"/>
              </w:rPr>
              <w:t>番禺</w:t>
            </w:r>
            <w:r>
              <w:rPr>
                <w:rFonts w:hint="eastAsia"/>
              </w:rPr>
              <w:t>区</w:t>
            </w:r>
            <w:r>
              <w:rPr>
                <w:rFonts w:hint="eastAsia"/>
                <w:lang w:val="en-US" w:eastAsia="zh-CN"/>
              </w:rPr>
              <w:t>万博二路广晟万博城独栋</w:t>
            </w:r>
            <w:r>
              <w:rPr>
                <w:rFonts w:hint="eastAsia"/>
              </w:rPr>
              <w:t>1-</w:t>
            </w:r>
            <w:r>
              <w:rPr>
                <w:rFonts w:hint="eastAsia"/>
                <w:lang w:val="en-US" w:eastAsia="zh-CN"/>
              </w:rPr>
              <w:t>4</w:t>
            </w:r>
            <w:r>
              <w:rPr>
                <w:rFonts w:hint="eastAsia"/>
              </w:rPr>
              <w:t>层</w:t>
            </w:r>
            <w:r>
              <w:rPr>
                <w:rFonts w:hint="eastAsia"/>
                <w:lang w:eastAsia="zh-CN"/>
              </w:rPr>
              <w:t>，</w:t>
            </w:r>
            <w:r>
              <w:rPr>
                <w:rFonts w:hint="eastAsia"/>
                <w:lang w:val="en-US" w:eastAsia="zh-CN"/>
              </w:rPr>
              <w:t>约2600平方米</w:t>
            </w:r>
            <w:r>
              <w:rPr>
                <w:rFonts w:hint="eastAsia"/>
              </w:rPr>
              <w:t>）</w:t>
            </w:r>
          </w:p>
          <w:p w14:paraId="311DA979">
            <w:pPr>
              <w:ind w:firstLine="420"/>
              <w:rPr>
                <w:rFonts w:hint="eastAsia"/>
              </w:rPr>
            </w:pPr>
            <w:r>
              <w:rPr>
                <w:rFonts w:hint="eastAsia"/>
              </w:rPr>
              <w:t>南方医科大学皮肤病医院</w:t>
            </w:r>
            <w:r>
              <w:rPr>
                <w:rFonts w:hint="eastAsia"/>
                <w:lang w:val="en-US" w:eastAsia="zh-CN"/>
              </w:rPr>
              <w:t>政民路院区</w:t>
            </w:r>
            <w:r>
              <w:rPr>
                <w:rFonts w:hint="eastAsia"/>
              </w:rPr>
              <w:t>（广州市</w:t>
            </w:r>
            <w:r>
              <w:rPr>
                <w:rFonts w:hint="eastAsia"/>
                <w:lang w:val="en-US" w:eastAsia="zh-CN"/>
              </w:rPr>
              <w:t>白云</w:t>
            </w:r>
            <w:r>
              <w:rPr>
                <w:rFonts w:hint="eastAsia"/>
              </w:rPr>
              <w:t>区</w:t>
            </w:r>
            <w:r>
              <w:rPr>
                <w:rFonts w:hint="eastAsia"/>
                <w:lang w:val="en-US" w:eastAsia="zh-CN"/>
              </w:rPr>
              <w:t>政民路77号</w:t>
            </w:r>
            <w:r>
              <w:rPr>
                <w:rFonts w:hint="eastAsia"/>
              </w:rPr>
              <w:t>1-</w:t>
            </w:r>
            <w:r>
              <w:rPr>
                <w:rFonts w:hint="eastAsia"/>
                <w:lang w:val="en-US" w:eastAsia="zh-CN"/>
              </w:rPr>
              <w:t>7</w:t>
            </w:r>
            <w:r>
              <w:rPr>
                <w:rFonts w:hint="eastAsia"/>
              </w:rPr>
              <w:t>层</w:t>
            </w:r>
            <w:r>
              <w:rPr>
                <w:rFonts w:hint="eastAsia"/>
                <w:lang w:eastAsia="zh-CN"/>
              </w:rPr>
              <w:t>，</w:t>
            </w:r>
            <w:r>
              <w:rPr>
                <w:rFonts w:hint="eastAsia"/>
                <w:lang w:val="en-US" w:eastAsia="zh-CN"/>
              </w:rPr>
              <w:t>约3880平方米</w:t>
            </w:r>
            <w:r>
              <w:rPr>
                <w:rFonts w:hint="eastAsia"/>
              </w:rPr>
              <w:t>）</w:t>
            </w:r>
          </w:p>
        </w:tc>
        <w:tc>
          <w:tcPr>
            <w:tcW w:w="475" w:type="pct"/>
            <w:vAlign w:val="center"/>
          </w:tcPr>
          <w:p w14:paraId="20087A0B">
            <w:pPr>
              <w:pStyle w:val="3"/>
              <w:jc w:val="center"/>
              <w:rPr>
                <w:rFonts w:ascii="宋体" w:hAnsi="宋体" w:cs="宋体"/>
              </w:rPr>
            </w:pPr>
            <w:r>
              <w:rPr>
                <w:rFonts w:hint="eastAsia" w:ascii="宋体" w:hAnsi="宋体" w:cs="宋体"/>
              </w:rPr>
              <w:t>老鼠控制</w:t>
            </w:r>
          </w:p>
        </w:tc>
        <w:tc>
          <w:tcPr>
            <w:tcW w:w="1468" w:type="pct"/>
            <w:vAlign w:val="center"/>
          </w:tcPr>
          <w:p w14:paraId="5403C549">
            <w:pPr>
              <w:pStyle w:val="3"/>
              <w:rPr>
                <w:rFonts w:ascii="宋体" w:hAnsi="宋体" w:cs="宋体"/>
              </w:rPr>
            </w:pPr>
            <w:r>
              <w:rPr>
                <w:rFonts w:hint="eastAsia" w:ascii="宋体" w:hAnsi="宋体" w:cs="宋体"/>
              </w:rPr>
              <w:t>使用安全药饵及鼠板处理，根据出没痕迹于每次服务改位施药，使老鼠无法适应，有效解决鼠患。</w:t>
            </w:r>
          </w:p>
        </w:tc>
        <w:tc>
          <w:tcPr>
            <w:tcW w:w="423" w:type="pct"/>
            <w:vMerge w:val="restart"/>
            <w:vAlign w:val="center"/>
          </w:tcPr>
          <w:p w14:paraId="274AEF43">
            <w:pPr>
              <w:pStyle w:val="3"/>
              <w:jc w:val="left"/>
              <w:rPr>
                <w:rFonts w:hint="eastAsia" w:ascii="宋体" w:hAnsi="宋体" w:eastAsia="宋体" w:cs="宋体"/>
                <w:lang w:eastAsia="zh-CN"/>
              </w:rPr>
            </w:pPr>
            <w:r>
              <w:rPr>
                <w:rFonts w:hint="eastAsia" w:ascii="宋体" w:hAnsi="宋体" w:cs="宋体"/>
              </w:rPr>
              <w:t>每周不少于1次常规维护服务</w:t>
            </w:r>
            <w:r>
              <w:rPr>
                <w:rFonts w:hint="eastAsia" w:ascii="宋体" w:hAnsi="宋体" w:cs="宋体"/>
                <w:lang w:eastAsia="zh-CN"/>
              </w:rPr>
              <w:t>，</w:t>
            </w:r>
            <w:r>
              <w:rPr>
                <w:rFonts w:hint="eastAsia" w:ascii="宋体" w:hAnsi="宋体" w:cs="宋体"/>
                <w:lang w:val="en-US" w:eastAsia="zh-CN"/>
              </w:rPr>
              <w:t>虫害高发期或其他特殊情况适当增加次数。</w:t>
            </w:r>
            <w:bookmarkStart w:id="0" w:name="_GoBack"/>
            <w:bookmarkEnd w:id="0"/>
          </w:p>
        </w:tc>
        <w:tc>
          <w:tcPr>
            <w:tcW w:w="519" w:type="pct"/>
            <w:vAlign w:val="center"/>
          </w:tcPr>
          <w:p w14:paraId="6B067DE3">
            <w:pPr>
              <w:pStyle w:val="3"/>
              <w:rPr>
                <w:rFonts w:ascii="宋体" w:hAnsi="宋体" w:cs="宋体"/>
              </w:rPr>
            </w:pPr>
            <w:r>
              <w:rPr>
                <w:rFonts w:hint="eastAsia" w:ascii="宋体" w:hAnsi="宋体" w:cs="宋体"/>
              </w:rPr>
              <w:t>防鼠设备灭鼠药</w:t>
            </w:r>
          </w:p>
        </w:tc>
        <w:tc>
          <w:tcPr>
            <w:tcW w:w="669" w:type="pct"/>
            <w:vAlign w:val="center"/>
          </w:tcPr>
          <w:p w14:paraId="25DEFC05">
            <w:pPr>
              <w:pStyle w:val="3"/>
              <w:rPr>
                <w:rFonts w:ascii="宋体" w:hAnsi="宋体" w:cs="宋体"/>
              </w:rPr>
            </w:pPr>
            <w:r>
              <w:rPr>
                <w:rFonts w:hint="eastAsia" w:ascii="宋体" w:hAnsi="宋体" w:cs="宋体"/>
              </w:rPr>
              <w:t>设备不少于12套，药剂按实际使用投放</w:t>
            </w:r>
          </w:p>
        </w:tc>
        <w:tc>
          <w:tcPr>
            <w:tcW w:w="477" w:type="pct"/>
            <w:vMerge w:val="restart"/>
            <w:vAlign w:val="center"/>
          </w:tcPr>
          <w:p w14:paraId="5885D297">
            <w:pPr>
              <w:pStyle w:val="3"/>
              <w:rPr>
                <w:rFonts w:ascii="宋体" w:hAnsi="宋体" w:cs="宋体"/>
              </w:rPr>
            </w:pPr>
            <w:r>
              <w:rPr>
                <w:rFonts w:hint="eastAsia" w:ascii="宋体" w:hAnsi="宋体" w:cs="宋体"/>
              </w:rPr>
              <w:t>如遇设备损坏、物料缺漏，及时更换、补充。</w:t>
            </w:r>
          </w:p>
        </w:tc>
      </w:tr>
      <w:tr w14:paraId="2E324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6" w:type="pct"/>
            <w:vMerge w:val="continue"/>
            <w:vAlign w:val="center"/>
          </w:tcPr>
          <w:p w14:paraId="1EFA5F47">
            <w:pPr>
              <w:spacing w:before="69" w:line="501" w:lineRule="auto"/>
              <w:ind w:left="820"/>
              <w:rPr>
                <w:rFonts w:ascii="宋体" w:hAnsi="宋体" w:eastAsia="宋体" w:cs="宋体"/>
              </w:rPr>
            </w:pPr>
          </w:p>
        </w:tc>
        <w:tc>
          <w:tcPr>
            <w:tcW w:w="475" w:type="pct"/>
            <w:vAlign w:val="center"/>
          </w:tcPr>
          <w:p w14:paraId="00591C0E">
            <w:pPr>
              <w:spacing w:line="219" w:lineRule="auto"/>
              <w:jc w:val="center"/>
              <w:rPr>
                <w:rFonts w:ascii="宋体" w:hAnsi="宋体" w:eastAsia="宋体" w:cs="宋体"/>
              </w:rPr>
            </w:pPr>
            <w:r>
              <w:rPr>
                <w:rFonts w:hint="eastAsia" w:ascii="宋体" w:hAnsi="宋体" w:eastAsia="宋体" w:cs="宋体"/>
              </w:rPr>
              <w:t>蟑螂控制</w:t>
            </w:r>
          </w:p>
        </w:tc>
        <w:tc>
          <w:tcPr>
            <w:tcW w:w="1468" w:type="pct"/>
            <w:vAlign w:val="center"/>
          </w:tcPr>
          <w:p w14:paraId="44787C18">
            <w:pPr>
              <w:pStyle w:val="3"/>
              <w:rPr>
                <w:rFonts w:ascii="宋体" w:hAnsi="宋体" w:cs="宋体"/>
              </w:rPr>
            </w:pPr>
            <w:r>
              <w:rPr>
                <w:rFonts w:hint="eastAsia" w:ascii="宋体" w:hAnsi="宋体" w:cs="宋体"/>
              </w:rPr>
              <w:t>使用纯药饵系统，通过针筒施药工具将药饵及药粉放入缝隙，连锁歼灭及深入巢穴清除。</w:t>
            </w:r>
          </w:p>
        </w:tc>
        <w:tc>
          <w:tcPr>
            <w:tcW w:w="423" w:type="pct"/>
            <w:vMerge w:val="continue"/>
            <w:vAlign w:val="center"/>
          </w:tcPr>
          <w:p w14:paraId="46992811">
            <w:pPr>
              <w:pStyle w:val="3"/>
              <w:jc w:val="center"/>
              <w:rPr>
                <w:rFonts w:ascii="宋体" w:hAnsi="宋体" w:cs="宋体"/>
              </w:rPr>
            </w:pPr>
          </w:p>
        </w:tc>
        <w:tc>
          <w:tcPr>
            <w:tcW w:w="519" w:type="pct"/>
            <w:vAlign w:val="center"/>
          </w:tcPr>
          <w:p w14:paraId="4F972D00">
            <w:pPr>
              <w:pStyle w:val="3"/>
              <w:rPr>
                <w:rFonts w:ascii="宋体" w:hAnsi="宋体" w:cs="宋体"/>
              </w:rPr>
            </w:pPr>
            <w:r>
              <w:rPr>
                <w:rFonts w:hint="eastAsia" w:ascii="宋体" w:hAnsi="宋体" w:cs="宋体"/>
              </w:rPr>
              <w:t>蟑螂防制药剂</w:t>
            </w:r>
          </w:p>
        </w:tc>
        <w:tc>
          <w:tcPr>
            <w:tcW w:w="669" w:type="pct"/>
            <w:vAlign w:val="center"/>
          </w:tcPr>
          <w:p w14:paraId="08F32A7D">
            <w:pPr>
              <w:pStyle w:val="3"/>
              <w:rPr>
                <w:rFonts w:ascii="宋体" w:hAnsi="宋体" w:cs="宋体"/>
              </w:rPr>
            </w:pPr>
            <w:r>
              <w:rPr>
                <w:rFonts w:hint="eastAsia" w:ascii="宋体" w:hAnsi="宋体" w:cs="宋体"/>
              </w:rPr>
              <w:t>按实际使用</w:t>
            </w:r>
          </w:p>
        </w:tc>
        <w:tc>
          <w:tcPr>
            <w:tcW w:w="477" w:type="pct"/>
            <w:vMerge w:val="continue"/>
            <w:vAlign w:val="center"/>
          </w:tcPr>
          <w:p w14:paraId="19AD28B1">
            <w:pPr>
              <w:pStyle w:val="3"/>
              <w:rPr>
                <w:rFonts w:ascii="宋体" w:hAnsi="宋体" w:cs="宋体"/>
              </w:rPr>
            </w:pPr>
          </w:p>
        </w:tc>
      </w:tr>
      <w:tr w14:paraId="7C3F8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6" w:type="pct"/>
            <w:vMerge w:val="continue"/>
            <w:vAlign w:val="center"/>
          </w:tcPr>
          <w:p w14:paraId="50946D31">
            <w:pPr>
              <w:spacing w:before="69" w:line="501" w:lineRule="auto"/>
              <w:ind w:left="820"/>
              <w:rPr>
                <w:rFonts w:ascii="宋体" w:hAnsi="宋体" w:eastAsia="宋体" w:cs="宋体"/>
              </w:rPr>
            </w:pPr>
          </w:p>
        </w:tc>
        <w:tc>
          <w:tcPr>
            <w:tcW w:w="475" w:type="pct"/>
            <w:vAlign w:val="center"/>
          </w:tcPr>
          <w:p w14:paraId="1FA8CBEB">
            <w:pPr>
              <w:spacing w:line="218" w:lineRule="auto"/>
              <w:jc w:val="center"/>
              <w:rPr>
                <w:rFonts w:ascii="宋体" w:hAnsi="宋体" w:eastAsia="宋体" w:cs="宋体"/>
              </w:rPr>
            </w:pPr>
            <w:r>
              <w:rPr>
                <w:rFonts w:hint="eastAsia" w:ascii="宋体" w:hAnsi="宋体" w:eastAsia="宋体" w:cs="宋体"/>
                <w:lang w:val="en-US" w:eastAsia="zh-CN"/>
              </w:rPr>
              <w:t>蚊</w:t>
            </w:r>
            <w:r>
              <w:rPr>
                <w:rFonts w:hint="eastAsia" w:ascii="宋体" w:hAnsi="宋体" w:eastAsia="宋体" w:cs="宋体"/>
              </w:rPr>
              <w:t>蝇控制</w:t>
            </w:r>
          </w:p>
        </w:tc>
        <w:tc>
          <w:tcPr>
            <w:tcW w:w="1468" w:type="pct"/>
            <w:vAlign w:val="center"/>
          </w:tcPr>
          <w:p w14:paraId="31FE71C4">
            <w:pPr>
              <w:pStyle w:val="3"/>
              <w:rPr>
                <w:rFonts w:ascii="宋体" w:hAnsi="宋体" w:cs="宋体"/>
              </w:rPr>
            </w:pPr>
            <w:r>
              <w:rPr>
                <w:rFonts w:hint="eastAsia" w:ascii="宋体" w:hAnsi="宋体" w:cs="宋体"/>
              </w:rPr>
              <w:t>在室内，外针对阴暗角落，积水处，花草丛中等源头位置喷洒药物杀死虫卵，于室内安放果蝇杯吸引入内而杀死成虫。</w:t>
            </w:r>
          </w:p>
        </w:tc>
        <w:tc>
          <w:tcPr>
            <w:tcW w:w="423" w:type="pct"/>
            <w:vMerge w:val="continue"/>
            <w:vAlign w:val="center"/>
          </w:tcPr>
          <w:p w14:paraId="33915457">
            <w:pPr>
              <w:pStyle w:val="3"/>
              <w:jc w:val="center"/>
              <w:rPr>
                <w:rFonts w:ascii="宋体" w:hAnsi="宋体" w:cs="宋体"/>
              </w:rPr>
            </w:pPr>
          </w:p>
        </w:tc>
        <w:tc>
          <w:tcPr>
            <w:tcW w:w="519" w:type="pct"/>
            <w:vMerge w:val="restart"/>
            <w:vAlign w:val="center"/>
          </w:tcPr>
          <w:p w14:paraId="735D4721">
            <w:pPr>
              <w:pStyle w:val="3"/>
              <w:rPr>
                <w:rFonts w:ascii="宋体" w:hAnsi="宋体" w:cs="宋体"/>
              </w:rPr>
            </w:pPr>
            <w:r>
              <w:rPr>
                <w:rFonts w:hint="eastAsia" w:ascii="宋体" w:hAnsi="宋体" w:cs="宋体"/>
              </w:rPr>
              <w:t>灭蝇灯、</w:t>
            </w:r>
          </w:p>
          <w:p w14:paraId="05CF0ADB">
            <w:pPr>
              <w:pStyle w:val="3"/>
              <w:rPr>
                <w:rFonts w:ascii="宋体" w:hAnsi="宋体" w:cs="宋体"/>
              </w:rPr>
            </w:pPr>
            <w:r>
              <w:rPr>
                <w:rFonts w:hint="eastAsia" w:ascii="宋体" w:hAnsi="宋体" w:cs="宋体"/>
              </w:rPr>
              <w:t>蝇类防制</w:t>
            </w:r>
          </w:p>
          <w:p w14:paraId="336DC7EC">
            <w:pPr>
              <w:pStyle w:val="3"/>
              <w:rPr>
                <w:rFonts w:ascii="宋体" w:hAnsi="宋体" w:cs="宋体"/>
              </w:rPr>
            </w:pPr>
            <w:r>
              <w:rPr>
                <w:rFonts w:hint="eastAsia" w:ascii="宋体" w:hAnsi="宋体" w:cs="宋体"/>
              </w:rPr>
              <w:t>药剂</w:t>
            </w:r>
          </w:p>
        </w:tc>
        <w:tc>
          <w:tcPr>
            <w:tcW w:w="669" w:type="pct"/>
            <w:vMerge w:val="restart"/>
            <w:vAlign w:val="center"/>
          </w:tcPr>
          <w:p w14:paraId="48EA8BEB">
            <w:pPr>
              <w:pStyle w:val="3"/>
              <w:rPr>
                <w:rFonts w:ascii="宋体" w:hAnsi="宋体" w:cs="宋体"/>
              </w:rPr>
            </w:pPr>
            <w:r>
              <w:rPr>
                <w:rFonts w:hint="eastAsia" w:ascii="宋体" w:hAnsi="宋体" w:cs="宋体"/>
              </w:rPr>
              <w:t>灭蚊灯不少于12套，药剂按实际使用投放</w:t>
            </w:r>
          </w:p>
        </w:tc>
        <w:tc>
          <w:tcPr>
            <w:tcW w:w="477" w:type="pct"/>
            <w:vMerge w:val="continue"/>
            <w:vAlign w:val="center"/>
          </w:tcPr>
          <w:p w14:paraId="4E59BDD9">
            <w:pPr>
              <w:pStyle w:val="3"/>
              <w:rPr>
                <w:rFonts w:ascii="宋体" w:hAnsi="宋体" w:cs="宋体"/>
              </w:rPr>
            </w:pPr>
          </w:p>
        </w:tc>
      </w:tr>
      <w:tr w14:paraId="040022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6" w:type="pct"/>
            <w:vMerge w:val="continue"/>
            <w:vAlign w:val="center"/>
          </w:tcPr>
          <w:p w14:paraId="66FC815B">
            <w:pPr>
              <w:spacing w:before="69" w:line="501" w:lineRule="auto"/>
              <w:ind w:left="820"/>
              <w:rPr>
                <w:rFonts w:ascii="宋体" w:hAnsi="宋体" w:eastAsia="宋体" w:cs="宋体"/>
              </w:rPr>
            </w:pPr>
          </w:p>
        </w:tc>
        <w:tc>
          <w:tcPr>
            <w:tcW w:w="475" w:type="pct"/>
            <w:vAlign w:val="center"/>
          </w:tcPr>
          <w:p w14:paraId="3822C3D7">
            <w:pPr>
              <w:pStyle w:val="3"/>
              <w:jc w:val="center"/>
              <w:rPr>
                <w:rFonts w:ascii="宋体" w:hAnsi="宋体" w:cs="宋体"/>
              </w:rPr>
            </w:pPr>
            <w:r>
              <w:rPr>
                <w:rFonts w:hint="eastAsia" w:ascii="宋体" w:hAnsi="宋体" w:cs="宋体"/>
              </w:rPr>
              <w:t>苍蝇控制</w:t>
            </w:r>
          </w:p>
        </w:tc>
        <w:tc>
          <w:tcPr>
            <w:tcW w:w="1468" w:type="pct"/>
            <w:vAlign w:val="center"/>
          </w:tcPr>
          <w:p w14:paraId="3BB8C5BF">
            <w:pPr>
              <w:pStyle w:val="3"/>
              <w:rPr>
                <w:rFonts w:ascii="宋体" w:hAnsi="宋体" w:cs="宋体"/>
              </w:rPr>
            </w:pPr>
            <w:r>
              <w:rPr>
                <w:rFonts w:hint="eastAsia" w:ascii="宋体" w:hAnsi="宋体" w:cs="宋体"/>
              </w:rPr>
              <w:t>在室内、外针对阴暗角落，积水处，花草丛中等源头位置喷洒药物杀死虫卵，于室内安放灭蝇杯吸引入内而杀死成蝇。</w:t>
            </w:r>
          </w:p>
        </w:tc>
        <w:tc>
          <w:tcPr>
            <w:tcW w:w="423" w:type="pct"/>
            <w:vMerge w:val="continue"/>
            <w:vAlign w:val="center"/>
          </w:tcPr>
          <w:p w14:paraId="28C9501A">
            <w:pPr>
              <w:pStyle w:val="3"/>
              <w:jc w:val="center"/>
              <w:rPr>
                <w:rFonts w:ascii="宋体" w:hAnsi="宋体" w:cs="宋体"/>
              </w:rPr>
            </w:pPr>
          </w:p>
        </w:tc>
        <w:tc>
          <w:tcPr>
            <w:tcW w:w="519" w:type="pct"/>
            <w:vMerge w:val="continue"/>
            <w:vAlign w:val="center"/>
          </w:tcPr>
          <w:p w14:paraId="07DC29C9">
            <w:pPr>
              <w:pStyle w:val="3"/>
              <w:rPr>
                <w:rFonts w:ascii="宋体" w:hAnsi="宋体" w:cs="宋体"/>
              </w:rPr>
            </w:pPr>
          </w:p>
        </w:tc>
        <w:tc>
          <w:tcPr>
            <w:tcW w:w="669" w:type="pct"/>
            <w:vMerge w:val="continue"/>
            <w:vAlign w:val="center"/>
          </w:tcPr>
          <w:p w14:paraId="268F0DA3">
            <w:pPr>
              <w:pStyle w:val="3"/>
              <w:rPr>
                <w:rFonts w:ascii="宋体" w:hAnsi="宋体" w:cs="宋体"/>
              </w:rPr>
            </w:pPr>
          </w:p>
        </w:tc>
        <w:tc>
          <w:tcPr>
            <w:tcW w:w="477" w:type="pct"/>
            <w:vMerge w:val="continue"/>
            <w:vAlign w:val="center"/>
          </w:tcPr>
          <w:p w14:paraId="4F1D8388">
            <w:pPr>
              <w:pStyle w:val="3"/>
              <w:rPr>
                <w:rFonts w:ascii="宋体" w:hAnsi="宋体" w:cs="宋体"/>
              </w:rPr>
            </w:pPr>
          </w:p>
        </w:tc>
      </w:tr>
      <w:tr w14:paraId="3A9C4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6" w:type="pct"/>
            <w:vMerge w:val="continue"/>
            <w:vAlign w:val="center"/>
          </w:tcPr>
          <w:p w14:paraId="425CFEC3">
            <w:pPr>
              <w:spacing w:before="69" w:line="501" w:lineRule="auto"/>
              <w:ind w:left="820"/>
              <w:rPr>
                <w:rFonts w:ascii="宋体" w:hAnsi="宋体" w:eastAsia="宋体" w:cs="宋体"/>
              </w:rPr>
            </w:pPr>
          </w:p>
        </w:tc>
        <w:tc>
          <w:tcPr>
            <w:tcW w:w="475" w:type="pct"/>
            <w:vAlign w:val="center"/>
          </w:tcPr>
          <w:p w14:paraId="32FBD884">
            <w:pPr>
              <w:spacing w:line="219" w:lineRule="auto"/>
              <w:jc w:val="center"/>
              <w:rPr>
                <w:rFonts w:ascii="宋体" w:hAnsi="宋体" w:eastAsia="宋体" w:cs="宋体"/>
              </w:rPr>
            </w:pPr>
            <w:r>
              <w:rPr>
                <w:rFonts w:hint="eastAsia" w:ascii="宋体" w:hAnsi="宋体" w:eastAsia="宋体" w:cs="宋体"/>
              </w:rPr>
              <w:t>特殊情况</w:t>
            </w:r>
          </w:p>
        </w:tc>
        <w:tc>
          <w:tcPr>
            <w:tcW w:w="1468" w:type="pct"/>
            <w:vAlign w:val="center"/>
          </w:tcPr>
          <w:p w14:paraId="090CF5B1">
            <w:pPr>
              <w:pStyle w:val="3"/>
              <w:rPr>
                <w:rFonts w:ascii="宋体" w:hAnsi="宋体" w:cs="宋体"/>
              </w:rPr>
            </w:pPr>
            <w:r>
              <w:rPr>
                <w:rFonts w:hint="eastAsia" w:ascii="宋体" w:hAnsi="宋体" w:cs="宋体"/>
              </w:rPr>
              <w:t>如甲方发现有问题或需协助突发跟进，需当日内派出专业人员跟进处理。</w:t>
            </w:r>
          </w:p>
        </w:tc>
        <w:tc>
          <w:tcPr>
            <w:tcW w:w="423" w:type="pct"/>
            <w:vAlign w:val="center"/>
          </w:tcPr>
          <w:p w14:paraId="1542CC40">
            <w:pPr>
              <w:pStyle w:val="3"/>
              <w:jc w:val="center"/>
              <w:rPr>
                <w:rFonts w:ascii="宋体" w:hAnsi="宋体" w:cs="宋体"/>
              </w:rPr>
            </w:pPr>
            <w:r>
              <w:rPr>
                <w:rFonts w:hint="eastAsia" w:ascii="宋体" w:hAnsi="宋体" w:cs="宋体"/>
              </w:rPr>
              <w:t>不定期</w:t>
            </w:r>
          </w:p>
        </w:tc>
        <w:tc>
          <w:tcPr>
            <w:tcW w:w="519" w:type="pct"/>
            <w:vAlign w:val="center"/>
          </w:tcPr>
          <w:p w14:paraId="56388194">
            <w:pPr>
              <w:pStyle w:val="3"/>
              <w:rPr>
                <w:rFonts w:ascii="宋体" w:hAnsi="宋体" w:cs="宋体"/>
              </w:rPr>
            </w:pPr>
          </w:p>
        </w:tc>
        <w:tc>
          <w:tcPr>
            <w:tcW w:w="669" w:type="pct"/>
            <w:vAlign w:val="center"/>
          </w:tcPr>
          <w:p w14:paraId="0A2B65CA">
            <w:pPr>
              <w:pStyle w:val="3"/>
              <w:rPr>
                <w:rFonts w:ascii="宋体" w:hAnsi="宋体" w:cs="宋体"/>
              </w:rPr>
            </w:pPr>
          </w:p>
        </w:tc>
        <w:tc>
          <w:tcPr>
            <w:tcW w:w="477" w:type="pct"/>
            <w:vAlign w:val="center"/>
          </w:tcPr>
          <w:p w14:paraId="3AFF614D">
            <w:pPr>
              <w:pStyle w:val="3"/>
              <w:rPr>
                <w:rFonts w:ascii="宋体" w:hAnsi="宋体" w:cs="宋体"/>
              </w:rPr>
            </w:pPr>
          </w:p>
        </w:tc>
      </w:tr>
    </w:tbl>
    <w:p w14:paraId="1AF2CCB8">
      <w:pPr>
        <w:spacing w:line="360" w:lineRule="auto"/>
        <w:rPr>
          <w:sz w:val="24"/>
          <w:szCs w:val="24"/>
        </w:rPr>
      </w:pPr>
    </w:p>
    <w:p w14:paraId="6F6595B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b/>
          <w:color w:val="000000"/>
          <w:sz w:val="24"/>
        </w:rPr>
      </w:pPr>
      <w:r>
        <w:rPr>
          <w:rFonts w:hint="eastAsia" w:ascii="宋体" w:hAnsi="宋体"/>
          <w:b/>
          <w:color w:val="000000"/>
          <w:sz w:val="24"/>
        </w:rPr>
        <w:t>三、项目内容及要求</w:t>
      </w:r>
    </w:p>
    <w:p w14:paraId="4CC101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一</w:t>
      </w:r>
      <w:r>
        <w:rPr>
          <w:rFonts w:hint="eastAsia" w:ascii="宋体" w:hAnsi="宋体"/>
          <w:color w:val="000000"/>
          <w:sz w:val="24"/>
          <w:lang w:eastAsia="zh-CN"/>
        </w:rPr>
        <w:t>）</w:t>
      </w:r>
      <w:r>
        <w:rPr>
          <w:rFonts w:hint="eastAsia" w:ascii="宋体" w:hAnsi="宋体"/>
          <w:color w:val="000000"/>
          <w:sz w:val="24"/>
        </w:rPr>
        <w:t>服务方应当每月一次派专业技术人员对上述有关技术服务规范及要求进行巡检、测试，对发现的故障、隐患即时处理排除。</w:t>
      </w:r>
    </w:p>
    <w:p w14:paraId="1FFBD4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二</w:t>
      </w:r>
      <w:r>
        <w:rPr>
          <w:rFonts w:hint="eastAsia" w:ascii="宋体" w:hAnsi="宋体"/>
          <w:color w:val="000000"/>
          <w:sz w:val="24"/>
          <w:lang w:eastAsia="zh-CN"/>
        </w:rPr>
        <w:t>）</w:t>
      </w:r>
      <w:r>
        <w:rPr>
          <w:rFonts w:hint="eastAsia" w:ascii="宋体" w:hAnsi="宋体"/>
          <w:color w:val="000000"/>
          <w:sz w:val="24"/>
        </w:rPr>
        <w:t>每次检查或服务结束后，服务方工作人员应当将技术服务工作做好记录，经双方签名认可，交采购方存档备案。</w:t>
      </w:r>
    </w:p>
    <w:p w14:paraId="7B74D5A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三</w:t>
      </w:r>
      <w:r>
        <w:rPr>
          <w:rFonts w:hint="eastAsia" w:ascii="宋体" w:hAnsi="宋体"/>
          <w:color w:val="000000"/>
          <w:sz w:val="24"/>
          <w:lang w:eastAsia="zh-CN"/>
        </w:rPr>
        <w:t>）</w:t>
      </w:r>
      <w:r>
        <w:rPr>
          <w:rFonts w:hint="eastAsia" w:ascii="宋体" w:hAnsi="宋体"/>
          <w:color w:val="000000"/>
          <w:sz w:val="24"/>
        </w:rPr>
        <w:t>服务方在接到采购人故障、临时服务通知后，应在3小时内派出技术人员进行处理，并在服务完成后向采购方作出书面报告。</w:t>
      </w:r>
    </w:p>
    <w:p w14:paraId="7DB71D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四</w:t>
      </w:r>
      <w:r>
        <w:rPr>
          <w:rFonts w:hint="eastAsia" w:ascii="宋体" w:hAnsi="宋体"/>
          <w:color w:val="000000"/>
          <w:sz w:val="24"/>
          <w:lang w:eastAsia="zh-CN"/>
        </w:rPr>
        <w:t>）</w:t>
      </w:r>
      <w:r>
        <w:rPr>
          <w:rFonts w:hint="eastAsia" w:ascii="宋体" w:hAnsi="宋体"/>
          <w:color w:val="000000"/>
          <w:sz w:val="24"/>
        </w:rPr>
        <w:t>服务方定期给采购人的后勤工作人员提供如何防虫、防鼠等用药期间注意事项的培训。</w:t>
      </w:r>
    </w:p>
    <w:p w14:paraId="4B65E2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五</w:t>
      </w:r>
      <w:r>
        <w:rPr>
          <w:rFonts w:hint="eastAsia" w:ascii="宋体" w:hAnsi="宋体"/>
          <w:color w:val="000000"/>
          <w:sz w:val="24"/>
          <w:lang w:eastAsia="zh-CN"/>
        </w:rPr>
        <w:t>）</w:t>
      </w:r>
      <w:r>
        <w:rPr>
          <w:rFonts w:hint="eastAsia" w:ascii="宋体" w:hAnsi="宋体"/>
          <w:color w:val="000000"/>
          <w:sz w:val="24"/>
        </w:rPr>
        <w:t>服务方应当配合采购方检查工作，遇应急检查的，采购方提前一天通知服务方，服务方需组织相应的工作人员上门技术服务。</w:t>
      </w:r>
    </w:p>
    <w:p w14:paraId="6B3B57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六</w:t>
      </w:r>
      <w:r>
        <w:rPr>
          <w:rFonts w:hint="eastAsia" w:ascii="宋体" w:hAnsi="宋体"/>
          <w:color w:val="000000"/>
          <w:sz w:val="24"/>
          <w:lang w:eastAsia="zh-CN"/>
        </w:rPr>
        <w:t>）</w:t>
      </w:r>
      <w:r>
        <w:rPr>
          <w:rFonts w:hint="eastAsia" w:ascii="宋体" w:hAnsi="宋体"/>
          <w:color w:val="000000"/>
          <w:sz w:val="24"/>
        </w:rPr>
        <w:t>技术服务人员必须遵纪守法，遵守采购方的有关规章制度，爱护采购方财物，保持好作业现场的环境卫生，保护好院内绿化及设施设备，如造成破坏，服务方须赔偿采购人损失。</w:t>
      </w:r>
    </w:p>
    <w:p w14:paraId="2F6136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七</w:t>
      </w:r>
      <w:r>
        <w:rPr>
          <w:rFonts w:hint="eastAsia" w:ascii="宋体" w:hAnsi="宋体"/>
          <w:color w:val="000000"/>
          <w:sz w:val="24"/>
          <w:lang w:eastAsia="zh-CN"/>
        </w:rPr>
        <w:t>）</w:t>
      </w:r>
      <w:r>
        <w:rPr>
          <w:rFonts w:hint="eastAsia" w:ascii="宋体" w:hAnsi="宋体"/>
          <w:color w:val="000000"/>
          <w:sz w:val="24"/>
        </w:rPr>
        <w:t>服务方应当定期进行技术服务，在每次作业前应事先告知需采购人配合的注意事项，并在作业前检查注意事项准备情况，确保达到标准后方可作业。如因服务方原因造成采购人、病人、家属、其他第三方工作人员人身伤害或财产损失的，供应商承担由此产生的一切赔偿和责任。</w:t>
      </w:r>
    </w:p>
    <w:p w14:paraId="10D5BC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八</w:t>
      </w:r>
      <w:r>
        <w:rPr>
          <w:rFonts w:hint="eastAsia" w:ascii="宋体" w:hAnsi="宋体"/>
          <w:color w:val="000000"/>
          <w:sz w:val="24"/>
          <w:lang w:eastAsia="zh-CN"/>
        </w:rPr>
        <w:t>）</w:t>
      </w:r>
      <w:r>
        <w:rPr>
          <w:rFonts w:hint="eastAsia" w:ascii="宋体" w:hAnsi="宋体"/>
          <w:color w:val="000000"/>
          <w:sz w:val="24"/>
        </w:rPr>
        <w:t>服务方项目负责人1名，技术负责人3名，需提供人员资质证明、社保证明；采购人有权要求服务方更换项目服务期间服务质量差的工作人员，服务方须在接到更换通知后15个日历天内予以更换。</w:t>
      </w:r>
    </w:p>
    <w:p w14:paraId="6553E8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lang w:eastAsia="zh-CN"/>
        </w:rPr>
        <w:t>（</w:t>
      </w:r>
      <w:r>
        <w:rPr>
          <w:rFonts w:hint="eastAsia" w:ascii="宋体" w:hAnsi="宋体"/>
          <w:color w:val="000000"/>
          <w:sz w:val="24"/>
          <w:lang w:val="en-US" w:eastAsia="zh-CN"/>
        </w:rPr>
        <w:t>九</w:t>
      </w:r>
      <w:r>
        <w:rPr>
          <w:rFonts w:hint="eastAsia" w:ascii="宋体" w:hAnsi="宋体"/>
          <w:color w:val="000000"/>
          <w:sz w:val="24"/>
          <w:lang w:eastAsia="zh-CN"/>
        </w:rPr>
        <w:t>）</w:t>
      </w:r>
      <w:r>
        <w:rPr>
          <w:rFonts w:hint="eastAsia" w:ascii="宋体" w:hAnsi="宋体"/>
          <w:color w:val="000000"/>
          <w:sz w:val="24"/>
        </w:rPr>
        <w:t>服务方应具备适合服务场所和环境使用的灭虫杀鼠药剂与器械，正在使用的产品需提供农药登记证、生产许可证与毒性检验报告。</w:t>
      </w:r>
    </w:p>
    <w:p w14:paraId="06ED4FD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b/>
          <w:color w:val="000000"/>
          <w:sz w:val="24"/>
        </w:rPr>
      </w:pPr>
      <w:r>
        <w:rPr>
          <w:rFonts w:hint="eastAsia" w:ascii="宋体" w:hAnsi="宋体"/>
          <w:b/>
          <w:color w:val="000000"/>
          <w:sz w:val="24"/>
        </w:rPr>
        <w:t>四、报价要求及明细报价要求</w:t>
      </w:r>
    </w:p>
    <w:p w14:paraId="114CA1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一</w:t>
      </w:r>
      <w:r>
        <w:rPr>
          <w:rFonts w:hint="eastAsia" w:ascii="宋体" w:hAnsi="宋体"/>
          <w:color w:val="000000"/>
          <w:sz w:val="24"/>
          <w:lang w:eastAsia="zh-CN"/>
        </w:rPr>
        <w:t>）</w:t>
      </w:r>
      <w:r>
        <w:rPr>
          <w:rFonts w:hint="eastAsia" w:ascii="宋体" w:hAnsi="宋体"/>
          <w:color w:val="000000"/>
          <w:sz w:val="24"/>
        </w:rPr>
        <w:t>本项目投标报价应包含但不限于以下全部费用(供应商不得再向院方收取任何费用),主要包含主体服务及设备、耗材更换等所有不可预见的隐含费用（以上费用如涉及到多次需求，所有费用都包含在内）。</w:t>
      </w:r>
    </w:p>
    <w:p w14:paraId="251BE4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二</w:t>
      </w:r>
      <w:r>
        <w:rPr>
          <w:rFonts w:hint="eastAsia" w:ascii="宋体" w:hAnsi="宋体"/>
          <w:color w:val="000000"/>
          <w:sz w:val="24"/>
          <w:lang w:eastAsia="zh-CN"/>
        </w:rPr>
        <w:t>）</w:t>
      </w:r>
      <w:r>
        <w:rPr>
          <w:rFonts w:hint="eastAsia" w:ascii="宋体" w:hAnsi="宋体"/>
          <w:color w:val="000000"/>
          <w:sz w:val="24"/>
        </w:rPr>
        <w:t>报价表：详见附件2</w:t>
      </w:r>
    </w:p>
    <w:p w14:paraId="1B86BE2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b/>
          <w:color w:val="000000"/>
          <w:sz w:val="24"/>
        </w:rPr>
      </w:pPr>
      <w:r>
        <w:rPr>
          <w:rFonts w:hint="eastAsia" w:ascii="宋体" w:hAnsi="宋体"/>
          <w:b/>
          <w:color w:val="000000"/>
          <w:sz w:val="24"/>
        </w:rPr>
        <w:t>五、其他要求</w:t>
      </w:r>
    </w:p>
    <w:p w14:paraId="3241FDA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一</w:t>
      </w:r>
      <w:r>
        <w:rPr>
          <w:rFonts w:hint="eastAsia" w:ascii="宋体" w:hAnsi="宋体"/>
          <w:color w:val="000000"/>
          <w:sz w:val="24"/>
          <w:lang w:eastAsia="zh-CN"/>
        </w:rPr>
        <w:t>）</w:t>
      </w:r>
      <w:r>
        <w:rPr>
          <w:rFonts w:hint="eastAsia" w:ascii="宋体" w:hAnsi="宋体"/>
          <w:color w:val="000000"/>
          <w:sz w:val="24"/>
        </w:rPr>
        <w:t>供应商须按本次采购项目的技术要求实质性响应院方全部需求，并提供经营资格、生产规模、技术能力等证明文件。</w:t>
      </w:r>
    </w:p>
    <w:p w14:paraId="1A1655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二</w:t>
      </w:r>
      <w:r>
        <w:rPr>
          <w:rFonts w:hint="eastAsia" w:ascii="宋体" w:hAnsi="宋体"/>
          <w:color w:val="000000"/>
          <w:sz w:val="24"/>
          <w:lang w:eastAsia="zh-CN"/>
        </w:rPr>
        <w:t>）</w:t>
      </w:r>
      <w:r>
        <w:rPr>
          <w:rFonts w:hint="eastAsia" w:ascii="宋体" w:hAnsi="宋体"/>
          <w:color w:val="000000"/>
          <w:sz w:val="24"/>
        </w:rPr>
        <w:t>供应商拟采取的管理方式。包括：内部管理架构、机构设置、运作机制、工作流程、信息反馈渠道、质量控制方式、应急预案等。</w:t>
      </w:r>
    </w:p>
    <w:p w14:paraId="6487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三</w:t>
      </w:r>
      <w:r>
        <w:rPr>
          <w:rFonts w:hint="eastAsia" w:ascii="宋体" w:hAnsi="宋体"/>
          <w:color w:val="000000"/>
          <w:sz w:val="24"/>
          <w:lang w:eastAsia="zh-CN"/>
        </w:rPr>
        <w:t>）</w:t>
      </w:r>
      <w:r>
        <w:rPr>
          <w:rFonts w:hint="eastAsia" w:ascii="宋体" w:hAnsi="宋体"/>
          <w:color w:val="000000"/>
          <w:sz w:val="24"/>
        </w:rPr>
        <w:t>服务人员配备。包括：主要负责人、服务人员数及配置等。</w:t>
      </w:r>
    </w:p>
    <w:p w14:paraId="622AE4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四</w:t>
      </w:r>
      <w:r>
        <w:rPr>
          <w:rFonts w:hint="eastAsia" w:ascii="宋体" w:hAnsi="宋体"/>
          <w:color w:val="000000"/>
          <w:sz w:val="24"/>
          <w:lang w:eastAsia="zh-CN"/>
        </w:rPr>
        <w:t>）</w:t>
      </w:r>
      <w:r>
        <w:rPr>
          <w:rFonts w:hint="eastAsia" w:ascii="宋体" w:hAnsi="宋体"/>
          <w:color w:val="000000"/>
          <w:sz w:val="24"/>
        </w:rPr>
        <w:t>服务工作必需的物质装备计划情况。</w:t>
      </w:r>
    </w:p>
    <w:p w14:paraId="419FAE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五</w:t>
      </w:r>
      <w:r>
        <w:rPr>
          <w:rFonts w:hint="eastAsia" w:ascii="宋体" w:hAnsi="宋体"/>
          <w:color w:val="000000"/>
          <w:sz w:val="24"/>
          <w:lang w:eastAsia="zh-CN"/>
        </w:rPr>
        <w:t>）</w:t>
      </w:r>
      <w:r>
        <w:rPr>
          <w:rFonts w:hint="eastAsia" w:ascii="宋体" w:hAnsi="宋体"/>
          <w:color w:val="000000"/>
          <w:sz w:val="24"/>
        </w:rPr>
        <w:t>管理规章制度。包括单位内部岗位责任制、和服务人员培训、考核制度。</w:t>
      </w:r>
    </w:p>
    <w:p w14:paraId="0E64A9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六</w:t>
      </w:r>
      <w:r>
        <w:rPr>
          <w:rFonts w:hint="eastAsia" w:ascii="宋体" w:hAnsi="宋体"/>
          <w:color w:val="000000"/>
          <w:sz w:val="24"/>
          <w:lang w:eastAsia="zh-CN"/>
        </w:rPr>
        <w:t>）</w:t>
      </w:r>
      <w:r>
        <w:rPr>
          <w:rFonts w:hint="eastAsia" w:ascii="宋体" w:hAnsi="宋体"/>
          <w:color w:val="000000"/>
          <w:sz w:val="24"/>
        </w:rPr>
        <w:t>档案的建立与管理。</w:t>
      </w:r>
    </w:p>
    <w:p w14:paraId="2BF7B5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七</w:t>
      </w:r>
      <w:r>
        <w:rPr>
          <w:rFonts w:hint="eastAsia" w:ascii="宋体" w:hAnsi="宋体"/>
          <w:color w:val="000000"/>
          <w:sz w:val="24"/>
          <w:lang w:eastAsia="zh-CN"/>
        </w:rPr>
        <w:t>）</w:t>
      </w:r>
      <w:r>
        <w:rPr>
          <w:rFonts w:hint="eastAsia" w:ascii="宋体" w:hAnsi="宋体"/>
          <w:color w:val="000000"/>
          <w:sz w:val="24"/>
        </w:rPr>
        <w:t>经验要求：供应商在经营范围内投标，且近年来资信良好，履约能力强，没有违法记录。</w:t>
      </w:r>
    </w:p>
    <w:p w14:paraId="0D0A6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八</w:t>
      </w:r>
      <w:r>
        <w:rPr>
          <w:rFonts w:hint="eastAsia" w:ascii="宋体" w:hAnsi="宋体"/>
          <w:color w:val="000000"/>
          <w:sz w:val="24"/>
          <w:lang w:eastAsia="zh-CN"/>
        </w:rPr>
        <w:t>）</w:t>
      </w:r>
      <w:r>
        <w:rPr>
          <w:rFonts w:hint="eastAsia" w:ascii="宋体" w:hAnsi="宋体"/>
          <w:color w:val="000000"/>
          <w:sz w:val="24"/>
        </w:rPr>
        <w:t>同意院方以任何形式对供应商投标文件内容及院方认为有必要的相关资料的真实性和有效性进行审查、验证。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0F70"/>
    <w:rsid w:val="000C7019"/>
    <w:rsid w:val="003611B0"/>
    <w:rsid w:val="00515555"/>
    <w:rsid w:val="005E6820"/>
    <w:rsid w:val="00A75D02"/>
    <w:rsid w:val="00D6480D"/>
    <w:rsid w:val="00E6387A"/>
    <w:rsid w:val="00F50F70"/>
    <w:rsid w:val="16C113F7"/>
    <w:rsid w:val="1E111D81"/>
    <w:rsid w:val="213D719B"/>
    <w:rsid w:val="30053646"/>
    <w:rsid w:val="3EA40736"/>
    <w:rsid w:val="3F2D0289"/>
    <w:rsid w:val="494F4157"/>
    <w:rsid w:val="49AC6A1F"/>
    <w:rsid w:val="6B4C0B24"/>
    <w:rsid w:val="703341B0"/>
    <w:rsid w:val="71441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0"/>
    <w:rPr>
      <w:rFonts w:ascii="Times New Roman" w:hAnsi="Times New Roman" w:eastAsia="宋体" w:cs="Times New Roman"/>
      <w:szCs w:val="24"/>
    </w:rPr>
  </w:style>
  <w:style w:type="paragraph" w:styleId="4">
    <w:name w:val="Body Text First Indent"/>
    <w:basedOn w:val="3"/>
    <w:link w:val="18"/>
    <w:semiHidden/>
    <w:unhideWhenUsed/>
    <w:qFormat/>
    <w:uiPriority w:val="99"/>
    <w:pPr>
      <w:spacing w:after="120"/>
      <w:ind w:firstLine="420" w:firstLineChars="100"/>
    </w:pPr>
    <w:rPr>
      <w:rFonts w:asciiTheme="minorHAnsi" w:hAnsiTheme="minorHAnsi" w:eastAsiaTheme="minorEastAsia" w:cstheme="minorBidi"/>
      <w:szCs w:val="22"/>
    </w:rPr>
  </w:style>
  <w:style w:type="paragraph" w:styleId="5">
    <w:name w:val="Body Text Indent"/>
    <w:basedOn w:val="1"/>
    <w:link w:val="19"/>
    <w:semiHidden/>
    <w:unhideWhenUsed/>
    <w:qFormat/>
    <w:uiPriority w:val="99"/>
    <w:pPr>
      <w:spacing w:after="120"/>
      <w:ind w:left="420" w:leftChars="200"/>
    </w:pPr>
  </w:style>
  <w:style w:type="paragraph" w:styleId="6">
    <w:name w:val="Plain Text"/>
    <w:basedOn w:val="1"/>
    <w:link w:val="15"/>
    <w:qFormat/>
    <w:uiPriority w:val="0"/>
    <w:rPr>
      <w:rFonts w:ascii="宋体" w:hAnsi="Courier New" w:eastAsia="宋体" w:cs="Courier New"/>
      <w:szCs w:val="21"/>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标题 1 Char"/>
    <w:basedOn w:val="11"/>
    <w:link w:val="2"/>
    <w:qFormat/>
    <w:uiPriority w:val="9"/>
    <w:rPr>
      <w:rFonts w:ascii="宋体" w:hAnsi="宋体" w:eastAsia="宋体" w:cs="宋体"/>
      <w:b/>
      <w:bCs/>
      <w:kern w:val="36"/>
      <w:sz w:val="48"/>
      <w:szCs w:val="48"/>
    </w:rPr>
  </w:style>
  <w:style w:type="character" w:customStyle="1" w:styleId="15">
    <w:name w:val="纯文本 Char"/>
    <w:basedOn w:val="11"/>
    <w:link w:val="6"/>
    <w:qFormat/>
    <w:uiPriority w:val="0"/>
    <w:rPr>
      <w:rFonts w:ascii="宋体" w:hAnsi="Courier New" w:eastAsia="宋体" w:cs="Courier New"/>
      <w:szCs w:val="21"/>
    </w:rPr>
  </w:style>
  <w:style w:type="character" w:customStyle="1" w:styleId="16">
    <w:name w:val="正文文本 Char"/>
    <w:basedOn w:val="11"/>
    <w:link w:val="3"/>
    <w:qFormat/>
    <w:uiPriority w:val="0"/>
    <w:rPr>
      <w:rFonts w:ascii="Times New Roman" w:hAnsi="Times New Roman" w:eastAsia="宋体" w:cs="Times New Roman"/>
      <w:szCs w:val="24"/>
    </w:rPr>
  </w:style>
  <w:style w:type="table" w:customStyle="1" w:styleId="17">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8">
    <w:name w:val="正文首行缩进 Char"/>
    <w:basedOn w:val="16"/>
    <w:link w:val="4"/>
    <w:semiHidden/>
    <w:qFormat/>
    <w:uiPriority w:val="99"/>
  </w:style>
  <w:style w:type="character" w:customStyle="1" w:styleId="19">
    <w:name w:val="正文文本缩进 Char"/>
    <w:basedOn w:val="11"/>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1959</Words>
  <Characters>1996</Characters>
  <Lines>14</Lines>
  <Paragraphs>3</Paragraphs>
  <TotalTime>1</TotalTime>
  <ScaleCrop>false</ScaleCrop>
  <LinksUpToDate>false</LinksUpToDate>
  <CharactersWithSpaces>2004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2025-07-22T07:14:00Z</dcterms:created>
  <dc:creator>user</dc:creator>
  <cp:lastModifiedBy>蘇公子</cp:lastModifiedBy>
  <dcterms:modified xsi:type="dcterms:W3CDTF">2025-11-14T01:37:09Z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eyJoZGlkIjoiN2I1YjNmNmEyMTEwMzMyYzRkMjBmZTVlNGM0ZTI2NTYiLCJ1c2VySWQiOiIxMDQ3MzczMDMyIn0=</vt:lpwstr>
  </property>
  <property fmtid="{D5CDD505-2E9C-101B-9397-08002B2CF9AE}" pid="3" name="KSOProductBuildVer">
    <vt:lpwstr>2052-12.1.0.23542</vt:lpwstr>
  </property>
  <property fmtid="{D5CDD505-2E9C-101B-9397-08002B2CF9AE}" pid="4" name="ICV">
    <vt:lpwstr>573A1CA7EF2748BCB6D979872EB6C059_12</vt:lpwstr>
  </property>
</Properties>
</file>